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70" w:rsidRPr="00B169DF" w:rsidRDefault="00A11662" w:rsidP="00391470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/>
          <w:bCs/>
        </w:rPr>
        <w:tab/>
      </w:r>
      <w:bookmarkStart w:id="0" w:name="_Hlk201666793"/>
      <w:r w:rsidR="00391470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6C3564" w:rsidRPr="006C3564" w:rsidRDefault="006C3564" w:rsidP="006C35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3564">
        <w:rPr>
          <w:rFonts w:ascii="Corbel" w:hAnsi="Corbel"/>
          <w:b/>
          <w:smallCaps/>
          <w:sz w:val="24"/>
          <w:szCs w:val="24"/>
        </w:rPr>
        <w:t>SYLABUS</w:t>
      </w:r>
    </w:p>
    <w:p w:rsidR="006C3564" w:rsidRPr="006C3564" w:rsidRDefault="006C3564" w:rsidP="006C35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356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C3564">
        <w:rPr>
          <w:rFonts w:ascii="Corbel" w:hAnsi="Corbel"/>
          <w:i/>
          <w:smallCaps/>
          <w:sz w:val="24"/>
          <w:szCs w:val="24"/>
        </w:rPr>
        <w:t xml:space="preserve"> </w:t>
      </w:r>
      <w:r w:rsidR="009506B9">
        <w:rPr>
          <w:rFonts w:ascii="Corbel" w:hAnsi="Corbel"/>
          <w:smallCaps/>
          <w:sz w:val="24"/>
          <w:szCs w:val="24"/>
        </w:rPr>
        <w:t>2026</w:t>
      </w:r>
      <w:r w:rsidRPr="006C3564">
        <w:rPr>
          <w:rFonts w:ascii="Corbel" w:hAnsi="Corbel"/>
          <w:smallCaps/>
          <w:sz w:val="24"/>
          <w:szCs w:val="24"/>
        </w:rPr>
        <w:t xml:space="preserve"> – 202</w:t>
      </w:r>
      <w:r w:rsidR="009506B9">
        <w:rPr>
          <w:rFonts w:ascii="Corbel" w:hAnsi="Corbel"/>
          <w:smallCaps/>
          <w:sz w:val="24"/>
          <w:szCs w:val="24"/>
        </w:rPr>
        <w:t>9</w:t>
      </w:r>
      <w:r w:rsidRPr="006C3564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6C3564" w:rsidRPr="006C3564" w:rsidRDefault="006C3564" w:rsidP="006C35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C356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6C3564">
        <w:rPr>
          <w:rFonts w:ascii="Corbel" w:hAnsi="Corbel"/>
          <w:i/>
          <w:sz w:val="20"/>
          <w:szCs w:val="20"/>
        </w:rPr>
        <w:t>(skrajne daty</w:t>
      </w:r>
      <w:r w:rsidRPr="006C3564">
        <w:rPr>
          <w:rFonts w:ascii="Corbel" w:hAnsi="Corbel"/>
          <w:sz w:val="20"/>
          <w:szCs w:val="20"/>
        </w:rPr>
        <w:t>)</w:t>
      </w:r>
    </w:p>
    <w:p w:rsidR="006C3564" w:rsidRPr="006C3564" w:rsidRDefault="006C3564" w:rsidP="006C356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C3564">
        <w:rPr>
          <w:rFonts w:ascii="Corbel" w:hAnsi="Corbel"/>
          <w:sz w:val="20"/>
          <w:szCs w:val="20"/>
        </w:rPr>
        <w:t xml:space="preserve">Rok akademicki   </w:t>
      </w:r>
      <w:r w:rsidR="009506B9">
        <w:rPr>
          <w:rFonts w:ascii="Corbel" w:hAnsi="Corbel"/>
          <w:sz w:val="20"/>
          <w:szCs w:val="20"/>
        </w:rPr>
        <w:t>2026/2027</w:t>
      </w:r>
    </w:p>
    <w:p w:rsidR="00A11662" w:rsidRPr="00B169DF" w:rsidRDefault="00A11662" w:rsidP="0039147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11662" w:rsidRPr="00B169DF" w:rsidRDefault="00E07F35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kultury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91470" w:rsidRPr="00B169DF" w:rsidTr="00FA531A">
        <w:tc>
          <w:tcPr>
            <w:tcW w:w="2694" w:type="dxa"/>
            <w:vAlign w:val="center"/>
          </w:tcPr>
          <w:p w:rsidR="00391470" w:rsidRPr="00B169DF" w:rsidRDefault="00391470" w:rsidP="0039147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91470" w:rsidRPr="00B169DF" w:rsidRDefault="00391470" w:rsidP="003914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91470" w:rsidRPr="00B169DF" w:rsidTr="00FA531A">
        <w:tc>
          <w:tcPr>
            <w:tcW w:w="2694" w:type="dxa"/>
            <w:vAlign w:val="center"/>
          </w:tcPr>
          <w:p w:rsidR="00391470" w:rsidRPr="00B169DF" w:rsidRDefault="00391470" w:rsidP="003914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91470" w:rsidRPr="00B169DF" w:rsidRDefault="00391470" w:rsidP="003914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506B9">
              <w:rPr>
                <w:rFonts w:ascii="Corbel" w:hAnsi="Corbel"/>
                <w:b w:val="0"/>
                <w:sz w:val="24"/>
                <w:szCs w:val="24"/>
              </w:rPr>
              <w:t xml:space="preserve"> stopinia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506B9">
              <w:rPr>
                <w:rFonts w:ascii="Corbel" w:hAnsi="Corbel"/>
                <w:b w:val="0"/>
                <w:sz w:val="24"/>
                <w:szCs w:val="24"/>
              </w:rPr>
              <w:t xml:space="preserve"> rok,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11662" w:rsidRPr="00B169DF" w:rsidRDefault="00E07F35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A11662" w:rsidRPr="00B169DF" w:rsidRDefault="00A11662" w:rsidP="00A1166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A11662" w:rsidRPr="00B169DF" w:rsidRDefault="00A11662" w:rsidP="00A11662">
      <w:pPr>
        <w:pStyle w:val="Podpunkty"/>
        <w:ind w:left="0"/>
        <w:rPr>
          <w:rFonts w:ascii="Corbel" w:hAnsi="Corbel"/>
          <w:sz w:val="24"/>
          <w:szCs w:val="24"/>
        </w:rPr>
      </w:pPr>
    </w:p>
    <w:p w:rsidR="00A11662" w:rsidRPr="00B169DF" w:rsidRDefault="00A11662" w:rsidP="00A11662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11662" w:rsidRPr="00B169DF" w:rsidRDefault="00A11662" w:rsidP="00A1166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11662" w:rsidRPr="00B169DF" w:rsidTr="00FA53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11662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62" w:rsidRPr="00B169DF" w:rsidRDefault="00F80C4D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F80C4D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70020E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F80C4D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11662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11662" w:rsidRPr="00B169DF" w:rsidRDefault="00A11662" w:rsidP="00A116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11662" w:rsidRPr="00B169DF" w:rsidRDefault="00A11662" w:rsidP="00A1166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11662" w:rsidRPr="00B169DF" w:rsidRDefault="00A11662" w:rsidP="00A116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A11662" w:rsidRPr="00B169DF" w:rsidRDefault="00A11662" w:rsidP="00A116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A11662" w:rsidRPr="00B169DF" w:rsidRDefault="00A11662" w:rsidP="00A116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11662" w:rsidRDefault="00A11662" w:rsidP="00A116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11662" w:rsidRPr="00A33E63" w:rsidRDefault="00A33E63" w:rsidP="00A116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33E63">
        <w:rPr>
          <w:rFonts w:ascii="Corbel" w:hAnsi="Corbel"/>
          <w:b w:val="0"/>
          <w:bCs/>
          <w:smallCaps w:val="0"/>
          <w:szCs w:val="24"/>
        </w:rPr>
        <w:t>EGZAMIN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11662" w:rsidRPr="00B169DF" w:rsidTr="00FA531A">
        <w:tc>
          <w:tcPr>
            <w:tcW w:w="9670" w:type="dxa"/>
          </w:tcPr>
          <w:p w:rsidR="00A11662" w:rsidRPr="00B169DF" w:rsidRDefault="00A11662" w:rsidP="00FA53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 xml:space="preserve">Student powinien mieć podstawową wiedzę </w:t>
            </w:r>
            <w:r w:rsidR="00F80C4D">
              <w:rPr>
                <w:rStyle w:val="wrtext"/>
                <w:rFonts w:ascii="Corbel" w:hAnsi="Corbel"/>
                <w:b w:val="0"/>
                <w:bCs/>
              </w:rPr>
              <w:t>d</w:t>
            </w:r>
            <w:r w:rsidR="00F80C4D" w:rsidRPr="00F80C4D">
              <w:rPr>
                <w:rStyle w:val="wrtext"/>
                <w:b w:val="0"/>
              </w:rPr>
              <w:t>otyczącą</w:t>
            </w:r>
            <w:r w:rsidR="00F80C4D">
              <w:rPr>
                <w:rStyle w:val="wrtext"/>
                <w:b w:val="0"/>
              </w:rPr>
              <w:t xml:space="preserve"> </w:t>
            </w:r>
            <w:r w:rsidR="00F80C4D" w:rsidRPr="00F80C4D">
              <w:rPr>
                <w:rStyle w:val="wrtext"/>
                <w:b w:val="0"/>
                <w:bCs/>
              </w:rPr>
              <w:t>kultury i społeczeństwa</w:t>
            </w:r>
            <w:r w:rsidR="00F80C4D">
              <w:rPr>
                <w:rStyle w:val="wrtext"/>
                <w:bCs/>
              </w:rPr>
              <w:t xml:space="preserve"> ;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zCs w:val="24"/>
        </w:rPr>
      </w:pPr>
    </w:p>
    <w:p w:rsidR="00A11662" w:rsidRPr="00B169DF" w:rsidRDefault="00A11662" w:rsidP="00A11662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A11662" w:rsidRPr="00B169DF" w:rsidRDefault="00A11662" w:rsidP="00A1166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A11662" w:rsidRPr="00B169DF" w:rsidTr="00FA531A">
        <w:tc>
          <w:tcPr>
            <w:tcW w:w="844" w:type="dxa"/>
            <w:vAlign w:val="center"/>
          </w:tcPr>
          <w:p w:rsidR="00A11662" w:rsidRPr="00B169DF" w:rsidRDefault="00A11662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A11662" w:rsidRPr="00A33E63" w:rsidRDefault="00420D88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33E63">
              <w:rPr>
                <w:rFonts w:ascii="Corbel" w:hAnsi="Corbel"/>
                <w:b w:val="0"/>
                <w:bCs/>
                <w:sz w:val="24"/>
                <w:szCs w:val="24"/>
              </w:rPr>
              <w:t>Zajęcia mają na celu zapoznanie studentów ze sposobami rozumienia filozofii i teorii kultury oraz przyswojenie wiedzy z zakresu antropologii kulturowej, socjologii kultury.</w:t>
            </w:r>
          </w:p>
        </w:tc>
      </w:tr>
      <w:tr w:rsidR="00A11662" w:rsidRPr="00B169DF" w:rsidTr="00FA531A">
        <w:tc>
          <w:tcPr>
            <w:tcW w:w="844" w:type="dxa"/>
            <w:vAlign w:val="center"/>
          </w:tcPr>
          <w:p w:rsidR="00A11662" w:rsidRPr="00B169DF" w:rsidRDefault="00A11662" w:rsidP="00FA53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A11662" w:rsidRPr="00A33E63" w:rsidRDefault="00420D88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33E63">
              <w:rPr>
                <w:rFonts w:ascii="Corbel" w:hAnsi="Corbel"/>
                <w:b w:val="0"/>
                <w:bCs/>
                <w:sz w:val="24"/>
                <w:szCs w:val="24"/>
              </w:rPr>
              <w:t>Celem przedmiotu jest także ukazanie studentom głównych problemów kultury w aspekcie filozoficznym i socjologicznym kształtujących się na przestrzeni dziejów.</w:t>
            </w:r>
          </w:p>
        </w:tc>
      </w:tr>
      <w:tr w:rsidR="00A11662" w:rsidRPr="00B169DF" w:rsidTr="00FA531A">
        <w:tc>
          <w:tcPr>
            <w:tcW w:w="844" w:type="dxa"/>
            <w:vAlign w:val="center"/>
          </w:tcPr>
          <w:p w:rsidR="00A11662" w:rsidRPr="00B169DF" w:rsidRDefault="00A11662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A11662" w:rsidRPr="00A33E63" w:rsidRDefault="00420D88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33E63">
              <w:rPr>
                <w:rFonts w:ascii="Corbel" w:hAnsi="Corbel"/>
                <w:b w:val="0"/>
                <w:bCs/>
                <w:sz w:val="24"/>
                <w:szCs w:val="24"/>
              </w:rPr>
              <w:t>Celem zajęć jest zaakcentowanie zagadnień strukturalnych i funkcjonalnych kultury, problemów kultury masowej, dylematów kulturowo-społecznych związanych z zachodzącymi procesami globalizacji.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11662" w:rsidRPr="00B169DF" w:rsidRDefault="00A11662" w:rsidP="00A116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A11662" w:rsidRPr="00B169DF" w:rsidRDefault="00A11662" w:rsidP="00A1166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A11662" w:rsidRPr="00B169DF" w:rsidTr="00DA133D">
        <w:tc>
          <w:tcPr>
            <w:tcW w:w="1679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A11662" w:rsidRPr="00B169DF" w:rsidRDefault="00DA133D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i zna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terminologię z zakresu wiedzy o kulturze i komunikacji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miejsce wiedzy o komunikacji międzykulturowej w systemie nauk oraz jej powiązania z innymi naukami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 z wykorzystaniem różnych źródeł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 rozpoznać, zinterpretować i analizować krytycznie różnego rodzaju wytwory kultury i określić ich rangę w procesie komunikacji międzykulturowej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B1E15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jest przygotowany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A11662" w:rsidRPr="00B169DF" w:rsidRDefault="00DA133D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przygotowany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K04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A11662" w:rsidRPr="00B169DF" w:rsidRDefault="00A11662" w:rsidP="00A1166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A11662" w:rsidRPr="00B169DF" w:rsidRDefault="00A11662" w:rsidP="00A1166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A11662" w:rsidRPr="00B169DF" w:rsidTr="00FA531A">
        <w:tc>
          <w:tcPr>
            <w:tcW w:w="9520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5E0F" w:rsidRPr="00B169DF" w:rsidTr="00FA531A">
        <w:tc>
          <w:tcPr>
            <w:tcW w:w="9520" w:type="dxa"/>
          </w:tcPr>
          <w:p w:rsidR="002C5E0F" w:rsidRPr="00F5352D" w:rsidRDefault="00B64CFE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lastRenderedPageBreak/>
              <w:t>Zakres pojęcia kultura.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Filozofia kultury a kulturowe uprawomocnienie.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Główne problemy interkulturowej filozofii kultury.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Reguły ponadkulturowe a różnice międzykulturowe.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Kulturowe zróżnicowanie narodowych i regionalnych tożsamości.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Rola kultury w procesie komunikacji.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Wielokulturowość – transgraniczność, granice, pogranicza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Wizja nowej kultury i nowego społeczeństwa – od antyku po współczesność</w:t>
            </w:r>
          </w:p>
        </w:tc>
      </w:tr>
    </w:tbl>
    <w:p w:rsidR="00A11662" w:rsidRPr="00B169DF" w:rsidRDefault="00A11662" w:rsidP="00A11662">
      <w:pPr>
        <w:spacing w:after="0" w:line="240" w:lineRule="auto"/>
        <w:rPr>
          <w:rFonts w:ascii="Corbel" w:hAnsi="Corbel"/>
          <w:sz w:val="24"/>
          <w:szCs w:val="24"/>
        </w:rPr>
      </w:pPr>
    </w:p>
    <w:p w:rsidR="00A11662" w:rsidRPr="00D563A1" w:rsidRDefault="00A11662" w:rsidP="00A1166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A11662" w:rsidRPr="00B169DF" w:rsidRDefault="00A11662" w:rsidP="00A1166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A11662" w:rsidRPr="00B169DF" w:rsidTr="00FA531A">
        <w:tc>
          <w:tcPr>
            <w:tcW w:w="9520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„Kłopoty z kulturą” – definicje, wymiary, kategorie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kultury jako filozofia kultury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badania kultury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Kultura jako system wartości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Problem relatywizmu i uniwersalizmu aksjologicznego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elitarna – przegląd stanowisk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popularna – przegląd teorii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masowa – przegląd teorii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kultury w dyskursie publicznym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Globalizacja kultury – mobilność, fundamentalizm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Nowe formy uczestnictwa w kulturze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wirtualna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0D52E0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Wielokulturowość i multikulturalizm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0D52E0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Tożsamość w wielokulturowej rzeczywistości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0D52E0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wielokulturowości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A11662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B0746" w:rsidRPr="00606F86" w:rsidRDefault="00FB0746" w:rsidP="00FB07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6F86">
        <w:rPr>
          <w:rFonts w:ascii="Corbel" w:hAnsi="Corbel"/>
          <w:b w:val="0"/>
          <w:smallCaps w:val="0"/>
          <w:szCs w:val="24"/>
        </w:rPr>
        <w:t xml:space="preserve">Wykład: wykład problemowy, </w:t>
      </w:r>
    </w:p>
    <w:p w:rsidR="00FB0746" w:rsidRPr="00606F86" w:rsidRDefault="00FB0746" w:rsidP="00FB07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6F86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11662" w:rsidRPr="00B169DF" w:rsidRDefault="00A11662" w:rsidP="00A116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A11662" w:rsidRPr="00B169DF" w:rsidRDefault="00A11662" w:rsidP="00A116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A11662" w:rsidRPr="00B169DF" w:rsidTr="00FA531A">
        <w:tc>
          <w:tcPr>
            <w:tcW w:w="1985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11662" w:rsidRPr="00B169DF" w:rsidTr="00FA531A">
        <w:tc>
          <w:tcPr>
            <w:tcW w:w="198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2E3C58">
              <w:rPr>
                <w:rFonts w:ascii="Corbel" w:hAnsi="Corbel"/>
                <w:b w:val="0"/>
                <w:szCs w:val="24"/>
              </w:rPr>
              <w:t>, EK_3-EK_8</w:t>
            </w:r>
          </w:p>
        </w:tc>
        <w:tc>
          <w:tcPr>
            <w:tcW w:w="5528" w:type="dxa"/>
          </w:tcPr>
          <w:p w:rsidR="00A11662" w:rsidRPr="00FB0746" w:rsidRDefault="00FB0746" w:rsidP="00FB074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trike/>
                <w:sz w:val="22"/>
              </w:rPr>
            </w:pPr>
            <w:r w:rsidRPr="00FB074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AKTYWNOŚĆ W TRAKCIE ZAJĘĆ; </w:t>
            </w:r>
            <w:r w:rsidRPr="00FB0746">
              <w:rPr>
                <w:rFonts w:ascii="Corbel" w:hAnsi="Corbel"/>
                <w:b w:val="0"/>
                <w:bCs/>
                <w:sz w:val="22"/>
              </w:rPr>
              <w:t>egzamin ustny</w:t>
            </w:r>
          </w:p>
        </w:tc>
        <w:tc>
          <w:tcPr>
            <w:tcW w:w="2126" w:type="dxa"/>
          </w:tcPr>
          <w:p w:rsidR="00A11662" w:rsidRPr="00B169DF" w:rsidRDefault="00FB0746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11662" w:rsidRPr="00B169DF" w:rsidTr="00FA531A">
        <w:tc>
          <w:tcPr>
            <w:tcW w:w="198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:rsidR="00A11662" w:rsidRPr="00606F86" w:rsidRDefault="00FB0746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6F86">
              <w:rPr>
                <w:rFonts w:ascii="Corbel" w:hAnsi="Corbel"/>
                <w:b w:val="0"/>
                <w:szCs w:val="24"/>
              </w:rPr>
              <w:t>Ocena aktywności na zajęciach i przygotowywanych przez studenta referatów</w:t>
            </w:r>
          </w:p>
        </w:tc>
        <w:tc>
          <w:tcPr>
            <w:tcW w:w="2126" w:type="dxa"/>
          </w:tcPr>
          <w:p w:rsidR="00A11662" w:rsidRPr="00B169DF" w:rsidRDefault="00FB0746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11662" w:rsidRPr="00B169DF" w:rsidTr="00FA531A">
        <w:tc>
          <w:tcPr>
            <w:tcW w:w="9670" w:type="dxa"/>
          </w:tcPr>
          <w:p w:rsidR="00A11662" w:rsidRPr="00B169DF" w:rsidRDefault="00FB0746" w:rsidP="00FB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 w:val="22"/>
              </w:rPr>
              <w:t>Udział w zajęciach, aktywność podczas dyskusji nad wybranymi zagadnieniami, prezentacja, referat.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A11662" w:rsidRPr="00B169DF" w:rsidTr="00FA531A">
        <w:tc>
          <w:tcPr>
            <w:tcW w:w="4962" w:type="dxa"/>
            <w:vAlign w:val="center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A11662" w:rsidRPr="00B169DF" w:rsidRDefault="00DA165D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A165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A165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11662" w:rsidRPr="00B169DF" w:rsidRDefault="00FB0746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A11662" w:rsidRPr="00B169DF" w:rsidRDefault="00FB0746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A11662" w:rsidRPr="00B169DF" w:rsidTr="00FA531A">
        <w:trPr>
          <w:trHeight w:val="397"/>
        </w:trPr>
        <w:tc>
          <w:tcPr>
            <w:tcW w:w="3544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11662" w:rsidRPr="00B169DF" w:rsidTr="00FA531A">
        <w:trPr>
          <w:trHeight w:val="397"/>
        </w:trPr>
        <w:tc>
          <w:tcPr>
            <w:tcW w:w="3544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A11662" w:rsidRPr="00B169DF" w:rsidTr="00FA531A">
        <w:trPr>
          <w:trHeight w:val="397"/>
        </w:trPr>
        <w:tc>
          <w:tcPr>
            <w:tcW w:w="7513" w:type="dxa"/>
          </w:tcPr>
          <w:p w:rsidR="00A11662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R. Benedict,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Wzory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1996</w:t>
            </w:r>
            <w:r w:rsidR="005A48F6">
              <w:rPr>
                <w:rFonts w:ascii="Corbel" w:hAnsi="Corbel"/>
                <w:sz w:val="24"/>
                <w:szCs w:val="24"/>
              </w:rPr>
              <w:t>; s. 20-50, 120-145, 220-250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E. Cassirer,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Esej o człowieku. Wstęp do filozofii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1971</w:t>
            </w:r>
            <w:r w:rsidR="006A1702">
              <w:rPr>
                <w:rFonts w:ascii="Corbel" w:hAnsi="Corbel"/>
                <w:sz w:val="24"/>
                <w:szCs w:val="24"/>
              </w:rPr>
              <w:t>; s.10-50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F. Copleston,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Filozofie i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1986</w:t>
            </w:r>
            <w:r w:rsidR="006A1702">
              <w:rPr>
                <w:rFonts w:ascii="Corbel" w:hAnsi="Corbel"/>
                <w:sz w:val="24"/>
                <w:szCs w:val="24"/>
              </w:rPr>
              <w:t>; s. 20-40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H.-G. Gadamer,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Dziedzictwo Europy, </w:t>
            </w:r>
            <w:r w:rsidRPr="00606F86">
              <w:rPr>
                <w:rFonts w:ascii="Corbel" w:hAnsi="Corbel"/>
                <w:sz w:val="24"/>
                <w:szCs w:val="24"/>
              </w:rPr>
              <w:t>Warszawa 1992</w:t>
            </w:r>
            <w:r w:rsidR="006A1702">
              <w:rPr>
                <w:rFonts w:ascii="Corbel" w:hAnsi="Corbel"/>
                <w:sz w:val="24"/>
                <w:szCs w:val="24"/>
              </w:rPr>
              <w:t>; s. 10-45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M. Golka,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Imiona wielokulturowości, </w:t>
            </w:r>
            <w:r w:rsidRPr="00606F86">
              <w:rPr>
                <w:rFonts w:ascii="Corbel" w:hAnsi="Corbel"/>
                <w:sz w:val="24"/>
                <w:szCs w:val="24"/>
              </w:rPr>
              <w:t>Warszawa 2010</w:t>
            </w:r>
            <w:r w:rsidR="006A1702">
              <w:rPr>
                <w:rFonts w:ascii="Corbel" w:hAnsi="Corbel"/>
                <w:sz w:val="24"/>
                <w:szCs w:val="24"/>
              </w:rPr>
              <w:t>; s. 41-60, 191-200, 210-230, 260-280, 326-340, 376-390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R. Kapuściński,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Ten Inny, </w:t>
            </w:r>
            <w:r w:rsidRPr="00606F86">
              <w:rPr>
                <w:rFonts w:ascii="Corbel" w:hAnsi="Corbel"/>
                <w:sz w:val="24"/>
                <w:szCs w:val="24"/>
              </w:rPr>
              <w:t>Kraków 2006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A. Kłoskowska,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Socjologia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1981</w:t>
            </w:r>
            <w:r w:rsidR="006A1702">
              <w:rPr>
                <w:rFonts w:ascii="Corbel" w:hAnsi="Corbel"/>
                <w:sz w:val="24"/>
                <w:szCs w:val="24"/>
              </w:rPr>
              <w:t>; s. 5-40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lastRenderedPageBreak/>
              <w:t xml:space="preserve">B. Kotowa, J. Sójka (red.),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Kultura jako przedmiot badań, </w:t>
            </w:r>
            <w:r w:rsidRPr="00606F86">
              <w:rPr>
                <w:rFonts w:ascii="Corbel" w:hAnsi="Corbel"/>
                <w:sz w:val="24"/>
                <w:szCs w:val="24"/>
              </w:rPr>
              <w:t>Poznań 2001</w:t>
            </w:r>
            <w:r w:rsidR="006A1702">
              <w:rPr>
                <w:rFonts w:ascii="Corbel" w:hAnsi="Corbel"/>
                <w:sz w:val="24"/>
                <w:szCs w:val="24"/>
              </w:rPr>
              <w:t>; s. 55-64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R. Linton,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Kulturowe podstawy osobowości, </w:t>
            </w:r>
            <w:r w:rsidRPr="00606F86">
              <w:rPr>
                <w:rFonts w:ascii="Corbel" w:hAnsi="Corbel"/>
                <w:sz w:val="24"/>
                <w:szCs w:val="24"/>
              </w:rPr>
              <w:t>PWN, Warszawa 1975</w:t>
            </w:r>
            <w:r w:rsidR="006A1702">
              <w:rPr>
                <w:rFonts w:ascii="Corbel" w:hAnsi="Corbel"/>
                <w:sz w:val="24"/>
                <w:szCs w:val="24"/>
              </w:rPr>
              <w:t>; s. 30-57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A. Pałubicka (red.),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Kulturowe konteksty idei filozoficznych, </w:t>
            </w:r>
            <w:r w:rsidRPr="00606F86">
              <w:rPr>
                <w:rFonts w:ascii="Corbel" w:hAnsi="Corbel"/>
                <w:sz w:val="24"/>
                <w:szCs w:val="24"/>
              </w:rPr>
              <w:t>Poznań 1997</w:t>
            </w:r>
            <w:r w:rsidR="006A1702">
              <w:rPr>
                <w:rFonts w:ascii="Corbel" w:hAnsi="Corbel"/>
                <w:sz w:val="24"/>
                <w:szCs w:val="24"/>
              </w:rPr>
              <w:t>; s. 91-108</w:t>
            </w:r>
          </w:p>
          <w:p w:rsidR="00A11662" w:rsidRPr="00B169DF" w:rsidRDefault="00A11662" w:rsidP="00161F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11662" w:rsidRPr="00B169DF" w:rsidTr="00FA531A">
        <w:trPr>
          <w:trHeight w:val="397"/>
        </w:trPr>
        <w:tc>
          <w:tcPr>
            <w:tcW w:w="7513" w:type="dxa"/>
          </w:tcPr>
          <w:p w:rsidR="00A11662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M. Carrithers,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Dlaczego ludzie mają kultury. Uzasadnienie antropologii i różnorodności społecznej, </w:t>
            </w:r>
            <w:r w:rsidRPr="00606F86">
              <w:rPr>
                <w:rFonts w:ascii="Corbel" w:hAnsi="Corbel"/>
                <w:sz w:val="24"/>
                <w:szCs w:val="24"/>
              </w:rPr>
              <w:t>Warszawa 1994</w:t>
            </w:r>
            <w:r w:rsidR="006A1702">
              <w:rPr>
                <w:rFonts w:ascii="Corbel" w:hAnsi="Corbel"/>
                <w:sz w:val="24"/>
                <w:szCs w:val="24"/>
              </w:rPr>
              <w:t>; s. 254-263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O.Kozlova, A.Kołodziej-Durnaś (red.),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Kulturowe zróżnicowanie narodowych, regiolnanych i organizacyjnych tożsamości, </w:t>
            </w:r>
            <w:r w:rsidRPr="00606F86">
              <w:rPr>
                <w:rFonts w:ascii="Corbel" w:hAnsi="Corbel"/>
                <w:sz w:val="24"/>
                <w:szCs w:val="24"/>
              </w:rPr>
              <w:t>Szczecin 2011</w:t>
            </w:r>
            <w:r w:rsidR="006A1702">
              <w:rPr>
                <w:rFonts w:ascii="Corbel" w:hAnsi="Corbel"/>
                <w:sz w:val="24"/>
                <w:szCs w:val="24"/>
              </w:rPr>
              <w:t>; 120-140</w:t>
            </w:r>
          </w:p>
          <w:p w:rsidR="00A11662" w:rsidRPr="009F36E6" w:rsidRDefault="00A11662" w:rsidP="00161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A4A9C" w:rsidRDefault="009A4A9C"/>
    <w:sectPr w:rsidR="009A4A9C" w:rsidSect="00A116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159" w:rsidRDefault="00684159" w:rsidP="00A11662">
      <w:pPr>
        <w:spacing w:after="0" w:line="240" w:lineRule="auto"/>
      </w:pPr>
      <w:r>
        <w:separator/>
      </w:r>
    </w:p>
  </w:endnote>
  <w:endnote w:type="continuationSeparator" w:id="0">
    <w:p w:rsidR="00684159" w:rsidRDefault="00684159" w:rsidP="00A1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159" w:rsidRDefault="00684159" w:rsidP="00A11662">
      <w:pPr>
        <w:spacing w:after="0" w:line="240" w:lineRule="auto"/>
      </w:pPr>
      <w:r>
        <w:separator/>
      </w:r>
    </w:p>
  </w:footnote>
  <w:footnote w:type="continuationSeparator" w:id="0">
    <w:p w:rsidR="00684159" w:rsidRDefault="00684159" w:rsidP="00A11662">
      <w:pPr>
        <w:spacing w:after="0" w:line="240" w:lineRule="auto"/>
      </w:pPr>
      <w:r>
        <w:continuationSeparator/>
      </w:r>
    </w:p>
  </w:footnote>
  <w:footnote w:id="1">
    <w:p w:rsidR="00A11662" w:rsidRDefault="00A11662" w:rsidP="00A116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A8E"/>
    <w:rsid w:val="00161F53"/>
    <w:rsid w:val="002C5E0F"/>
    <w:rsid w:val="002E3C58"/>
    <w:rsid w:val="00342667"/>
    <w:rsid w:val="003439A8"/>
    <w:rsid w:val="00384A8E"/>
    <w:rsid w:val="00391470"/>
    <w:rsid w:val="00420D88"/>
    <w:rsid w:val="005543BE"/>
    <w:rsid w:val="005958EF"/>
    <w:rsid w:val="005A1213"/>
    <w:rsid w:val="005A48F6"/>
    <w:rsid w:val="00606F86"/>
    <w:rsid w:val="0060711F"/>
    <w:rsid w:val="00684159"/>
    <w:rsid w:val="006A1702"/>
    <w:rsid w:val="006B0925"/>
    <w:rsid w:val="006C3564"/>
    <w:rsid w:val="006F13A8"/>
    <w:rsid w:val="0070020E"/>
    <w:rsid w:val="007369C1"/>
    <w:rsid w:val="00773C54"/>
    <w:rsid w:val="007D5279"/>
    <w:rsid w:val="009506B9"/>
    <w:rsid w:val="00987C14"/>
    <w:rsid w:val="009A4A9C"/>
    <w:rsid w:val="00A11662"/>
    <w:rsid w:val="00A21D26"/>
    <w:rsid w:val="00A33E63"/>
    <w:rsid w:val="00B64CFE"/>
    <w:rsid w:val="00BB186B"/>
    <w:rsid w:val="00C231F2"/>
    <w:rsid w:val="00C77F59"/>
    <w:rsid w:val="00CF10AD"/>
    <w:rsid w:val="00D806B9"/>
    <w:rsid w:val="00D84FC4"/>
    <w:rsid w:val="00DA133D"/>
    <w:rsid w:val="00DA165D"/>
    <w:rsid w:val="00E07F35"/>
    <w:rsid w:val="00F5352D"/>
    <w:rsid w:val="00F80C4D"/>
    <w:rsid w:val="00FB0746"/>
    <w:rsid w:val="00FB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16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166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16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16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11662"/>
    <w:rPr>
      <w:vertAlign w:val="superscript"/>
    </w:rPr>
  </w:style>
  <w:style w:type="paragraph" w:customStyle="1" w:styleId="Punktygwne">
    <w:name w:val="Punkty główne"/>
    <w:basedOn w:val="Normalny"/>
    <w:rsid w:val="00A1166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1166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1166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1166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1166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1166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1166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116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A1166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16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16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7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1027</Words>
  <Characters>6166</Characters>
  <Application>Microsoft Office Word</Application>
  <DocSecurity>0</DocSecurity>
  <Lines>51</Lines>
  <Paragraphs>14</Paragraphs>
  <ScaleCrop>false</ScaleCrop>
  <Company/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Admin</cp:lastModifiedBy>
  <cp:revision>28</cp:revision>
  <dcterms:created xsi:type="dcterms:W3CDTF">2024-09-13T19:18:00Z</dcterms:created>
  <dcterms:modified xsi:type="dcterms:W3CDTF">2026-06-26T18:42:00Z</dcterms:modified>
</cp:coreProperties>
</file>